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AB" w:rsidRPr="00145E2B" w:rsidRDefault="001A00EB" w:rsidP="001A00EB">
      <w:pPr>
        <w:ind w:firstLine="708"/>
        <w:jc w:val="center"/>
        <w:rPr>
          <w:b/>
          <w:sz w:val="32"/>
          <w:szCs w:val="32"/>
        </w:rPr>
      </w:pPr>
      <w:r w:rsidRPr="00145E2B">
        <w:rPr>
          <w:b/>
          <w:sz w:val="32"/>
          <w:szCs w:val="32"/>
        </w:rPr>
        <w:t xml:space="preserve">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6FB3" w:rsidRPr="004E1B87" w:rsidTr="004E1B87">
        <w:tc>
          <w:tcPr>
            <w:tcW w:w="4785" w:type="dxa"/>
            <w:shd w:val="clear" w:color="auto" w:fill="auto"/>
          </w:tcPr>
          <w:p w:rsidR="004D6FB3" w:rsidRPr="009E06A2" w:rsidRDefault="00190B88" w:rsidP="004D6FB3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-471170</wp:posOffset>
                  </wp:positionH>
                  <wp:positionV relativeFrom="paragraph">
                    <wp:posOffset>95885</wp:posOffset>
                  </wp:positionV>
                  <wp:extent cx="2002790" cy="1518285"/>
                  <wp:effectExtent l="209550" t="304800" r="226060" b="29146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27" r="-327" b="-214"/>
                          <a:stretch>
                            <a:fillRect/>
                          </a:stretch>
                        </pic:blipFill>
                        <pic:spPr bwMode="auto">
                          <a:xfrm rot="1591543">
                            <a:off x="0" y="0"/>
                            <a:ext cx="2002790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D6FB3" w:rsidRPr="009E06A2">
              <w:t>«</w:t>
            </w:r>
            <w:r w:rsidR="004D6FB3">
              <w:t>СОГЛАСОВАНО</w:t>
            </w:r>
            <w:r w:rsidR="004D6FB3" w:rsidRPr="009E06A2">
              <w:t xml:space="preserve">»                                                                                     </w:t>
            </w:r>
          </w:p>
          <w:p w:rsidR="004D6FB3" w:rsidRDefault="004D6FB3" w:rsidP="004D6FB3">
            <w:r w:rsidRPr="009E06A2">
              <w:t xml:space="preserve"> </w:t>
            </w:r>
            <w:r>
              <w:t>Президент р</w:t>
            </w:r>
            <w:r w:rsidRPr="009E06A2">
              <w:t>егионал</w:t>
            </w:r>
            <w:r>
              <w:t>ьной спортивной</w:t>
            </w:r>
            <w:r w:rsidRPr="009E06A2">
              <w:t xml:space="preserve">                                                                    </w:t>
            </w:r>
            <w:r>
              <w:t xml:space="preserve">  федерации</w:t>
            </w:r>
            <w:r w:rsidRPr="009E06A2">
              <w:t xml:space="preserve"> шахмат </w:t>
            </w:r>
          </w:p>
          <w:p w:rsidR="00A329ED" w:rsidRDefault="004D6FB3" w:rsidP="004D6FB3">
            <w:r w:rsidRPr="009E06A2">
              <w:t xml:space="preserve">Ленинградской области             </w:t>
            </w:r>
          </w:p>
          <w:p w:rsidR="004D6FB3" w:rsidRDefault="004D6FB3" w:rsidP="004D6FB3">
            <w:r w:rsidRPr="009E06A2">
              <w:t xml:space="preserve">   </w:t>
            </w:r>
          </w:p>
          <w:p w:rsidR="00A329ED" w:rsidRDefault="004D6FB3" w:rsidP="004D6FB3">
            <w:r w:rsidRPr="009E06A2">
              <w:t>____________________</w:t>
            </w:r>
            <w:r>
              <w:t>___</w:t>
            </w:r>
            <w:r w:rsidRPr="009E06A2">
              <w:t>С. Ю. Масляков</w:t>
            </w:r>
          </w:p>
          <w:p w:rsidR="004D6FB3" w:rsidRPr="009E06A2" w:rsidRDefault="004D6FB3" w:rsidP="004D6FB3">
            <w:r w:rsidRPr="009E06A2">
              <w:t xml:space="preserve">                                                            </w:t>
            </w:r>
            <w:r>
              <w:t xml:space="preserve"> </w:t>
            </w:r>
            <w:r w:rsidR="00A329ED">
              <w:t xml:space="preserve">    </w:t>
            </w:r>
            <w:r>
              <w:t>«____» ___________________ 201</w:t>
            </w:r>
            <w:r w:rsidR="007853BF">
              <w:t>7</w:t>
            </w:r>
            <w:r w:rsidRPr="009E06A2">
              <w:t xml:space="preserve"> г.</w:t>
            </w:r>
          </w:p>
          <w:p w:rsidR="004D6FB3" w:rsidRPr="004E1B87" w:rsidRDefault="004D6FB3" w:rsidP="001A00EB">
            <w:pPr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:rsidR="004D6FB3" w:rsidRDefault="004D6FB3" w:rsidP="004E1B87">
            <w:pPr>
              <w:jc w:val="right"/>
            </w:pPr>
            <w:r>
              <w:t>«УТВЕРЖДАЮ</w:t>
            </w:r>
            <w:r w:rsidRPr="009E06A2">
              <w:t xml:space="preserve">»       </w:t>
            </w:r>
          </w:p>
          <w:p w:rsidR="004D6FB3" w:rsidRDefault="00203A64" w:rsidP="004E1B87">
            <w:pPr>
              <w:jc w:val="right"/>
            </w:pPr>
            <w:r>
              <w:t>Руководитель</w:t>
            </w:r>
            <w:r w:rsidR="004D6FB3">
              <w:t xml:space="preserve"> </w:t>
            </w:r>
            <w:r w:rsidR="00F103E1">
              <w:t>Токсовского</w:t>
            </w:r>
            <w:r w:rsidR="002C61F0">
              <w:t xml:space="preserve">             шахматного клуба</w:t>
            </w:r>
          </w:p>
          <w:p w:rsidR="00257E9B" w:rsidRDefault="00257E9B" w:rsidP="004E1B87">
            <w:pPr>
              <w:jc w:val="right"/>
            </w:pPr>
          </w:p>
          <w:p w:rsidR="004D6FB3" w:rsidRDefault="004D6FB3" w:rsidP="002C61F0">
            <w:r w:rsidRPr="009E06A2">
              <w:t xml:space="preserve">     </w:t>
            </w:r>
          </w:p>
          <w:p w:rsidR="00A329ED" w:rsidRDefault="009137F8" w:rsidP="004E1B87">
            <w:pPr>
              <w:jc w:val="right"/>
            </w:pPr>
            <w:r>
              <w:t>____________________</w:t>
            </w:r>
            <w:r w:rsidR="00F103E1">
              <w:t xml:space="preserve">С. </w:t>
            </w:r>
            <w:r w:rsidR="00257E9B">
              <w:t>И</w:t>
            </w:r>
            <w:r w:rsidR="00F103E1">
              <w:t xml:space="preserve">. </w:t>
            </w:r>
            <w:r w:rsidR="00257E9B">
              <w:t>Смирнов</w:t>
            </w:r>
          </w:p>
          <w:p w:rsidR="004D6FB3" w:rsidRPr="009E06A2" w:rsidRDefault="004D6FB3" w:rsidP="004E1B87">
            <w:pPr>
              <w:jc w:val="right"/>
            </w:pPr>
            <w:r w:rsidRPr="009E06A2">
              <w:t xml:space="preserve">                                                             </w:t>
            </w:r>
            <w:r w:rsidR="00A329ED">
              <w:t xml:space="preserve">   </w:t>
            </w:r>
            <w:r>
              <w:t xml:space="preserve"> «____» ___________________ 201</w:t>
            </w:r>
            <w:r w:rsidR="007853BF">
              <w:t>7</w:t>
            </w:r>
            <w:r w:rsidRPr="009E06A2">
              <w:t xml:space="preserve"> г.</w:t>
            </w:r>
          </w:p>
          <w:p w:rsidR="004D6FB3" w:rsidRPr="004E1B87" w:rsidRDefault="004D6FB3" w:rsidP="004E1B87">
            <w:pPr>
              <w:jc w:val="right"/>
              <w:rPr>
                <w:b/>
                <w:sz w:val="32"/>
                <w:szCs w:val="32"/>
              </w:rPr>
            </w:pPr>
            <w:r w:rsidRPr="009E06A2">
              <w:t xml:space="preserve">                                                                        </w:t>
            </w:r>
          </w:p>
        </w:tc>
      </w:tr>
    </w:tbl>
    <w:p w:rsidR="007371AB" w:rsidRPr="00145E2B" w:rsidRDefault="007371AB" w:rsidP="001A00EB">
      <w:pPr>
        <w:rPr>
          <w:b/>
          <w:sz w:val="32"/>
          <w:szCs w:val="32"/>
        </w:rPr>
      </w:pPr>
    </w:p>
    <w:p w:rsidR="007371AB" w:rsidRPr="00145E2B" w:rsidRDefault="007371AB" w:rsidP="007371AB">
      <w:pPr>
        <w:ind w:firstLine="708"/>
        <w:jc w:val="center"/>
        <w:rPr>
          <w:b/>
          <w:sz w:val="32"/>
          <w:szCs w:val="32"/>
        </w:rPr>
      </w:pPr>
      <w:r w:rsidRPr="00145E2B">
        <w:rPr>
          <w:b/>
          <w:sz w:val="32"/>
          <w:szCs w:val="32"/>
        </w:rPr>
        <w:t>Положение</w:t>
      </w:r>
    </w:p>
    <w:p w:rsidR="007100C8" w:rsidRPr="00145E2B" w:rsidRDefault="00141355" w:rsidP="00710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5480">
        <w:rPr>
          <w:b/>
          <w:sz w:val="28"/>
          <w:szCs w:val="28"/>
        </w:rPr>
        <w:t xml:space="preserve">Региональный </w:t>
      </w:r>
      <w:r w:rsidR="00996660">
        <w:rPr>
          <w:b/>
          <w:sz w:val="28"/>
          <w:szCs w:val="28"/>
        </w:rPr>
        <w:t>турнир,</w:t>
      </w:r>
      <w:r w:rsidR="007853BF">
        <w:rPr>
          <w:b/>
          <w:sz w:val="28"/>
          <w:szCs w:val="28"/>
        </w:rPr>
        <w:t xml:space="preserve"> посвящённый </w:t>
      </w:r>
      <w:r w:rsidR="00C05480">
        <w:rPr>
          <w:b/>
          <w:sz w:val="28"/>
          <w:szCs w:val="28"/>
        </w:rPr>
        <w:t>международному дню шахмат</w:t>
      </w:r>
      <w:r>
        <w:rPr>
          <w:b/>
          <w:sz w:val="28"/>
          <w:szCs w:val="28"/>
        </w:rPr>
        <w:t>»</w:t>
      </w:r>
    </w:p>
    <w:p w:rsidR="007371AB" w:rsidRPr="00145E2B" w:rsidRDefault="007371AB" w:rsidP="001A00EB">
      <w:pPr>
        <w:widowControl w:val="0"/>
        <w:autoSpaceDE w:val="0"/>
        <w:autoSpaceDN w:val="0"/>
        <w:adjustRightInd w:val="0"/>
      </w:pPr>
    </w:p>
    <w:p w:rsidR="007371AB" w:rsidRPr="00145E2B" w:rsidRDefault="007100C8" w:rsidP="007100C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5E2B">
        <w:rPr>
          <w:b/>
        </w:rPr>
        <w:t>1. Цели и задачи</w:t>
      </w:r>
    </w:p>
    <w:p w:rsidR="00151414" w:rsidRPr="00497307" w:rsidRDefault="006E6912" w:rsidP="00151414">
      <w:pPr>
        <w:ind w:firstLine="708"/>
        <w:jc w:val="both"/>
      </w:pPr>
      <w:r w:rsidRPr="00145E2B">
        <w:t xml:space="preserve">      </w:t>
      </w:r>
      <w:r w:rsidR="00151414">
        <w:t>Соревнования проводятся с целью популяризации и пропаганды шахматного спорта, повышения спортивного мастерства  и квалификации ша</w:t>
      </w:r>
      <w:r w:rsidR="00497307">
        <w:t>хматистов Ленинградской области</w:t>
      </w:r>
      <w:r w:rsidR="00497307" w:rsidRPr="00497307">
        <w:t xml:space="preserve"> </w:t>
      </w:r>
      <w:r w:rsidR="00497307">
        <w:t>и г. Санкт-Петербург</w:t>
      </w:r>
    </w:p>
    <w:p w:rsidR="007371AB" w:rsidRPr="00145E2B" w:rsidRDefault="007371AB" w:rsidP="00151414">
      <w:pPr>
        <w:widowControl w:val="0"/>
        <w:autoSpaceDE w:val="0"/>
        <w:autoSpaceDN w:val="0"/>
        <w:adjustRightInd w:val="0"/>
      </w:pPr>
    </w:p>
    <w:p w:rsidR="007371AB" w:rsidRPr="00145E2B" w:rsidRDefault="007100C8" w:rsidP="007100C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5E2B">
        <w:rPr>
          <w:b/>
        </w:rPr>
        <w:t>2. Сроки и место проведения</w:t>
      </w:r>
    </w:p>
    <w:p w:rsidR="00A4172E" w:rsidRPr="00145E2B" w:rsidRDefault="006E6912" w:rsidP="00996660">
      <w:pPr>
        <w:ind w:firstLine="708"/>
        <w:jc w:val="both"/>
      </w:pPr>
      <w:r w:rsidRPr="00145E2B">
        <w:t xml:space="preserve">     </w:t>
      </w:r>
      <w:r w:rsidR="007371AB" w:rsidRPr="00996660">
        <w:t>Сорев</w:t>
      </w:r>
      <w:r w:rsidRPr="00996660">
        <w:t xml:space="preserve">нования проводятся </w:t>
      </w:r>
      <w:r w:rsidR="00570B6C" w:rsidRPr="00996660">
        <w:t xml:space="preserve"> </w:t>
      </w:r>
      <w:r w:rsidR="00C05480" w:rsidRPr="00996660">
        <w:t>23</w:t>
      </w:r>
      <w:r w:rsidR="00A97941" w:rsidRPr="00996660">
        <w:t xml:space="preserve"> </w:t>
      </w:r>
      <w:r w:rsidR="00C05480" w:rsidRPr="00996660">
        <w:t>июля</w:t>
      </w:r>
      <w:r w:rsidR="00A97941" w:rsidRPr="00996660">
        <w:t xml:space="preserve"> </w:t>
      </w:r>
      <w:r w:rsidRPr="00996660">
        <w:t>201</w:t>
      </w:r>
      <w:r w:rsidR="00151414" w:rsidRPr="00996660">
        <w:t>7</w:t>
      </w:r>
      <w:r w:rsidR="007371AB" w:rsidRPr="00996660">
        <w:t xml:space="preserve"> г. </w:t>
      </w:r>
      <w:r w:rsidR="002F59AB" w:rsidRPr="00996660">
        <w:t>по адресу</w:t>
      </w:r>
      <w:r w:rsidR="003721F0" w:rsidRPr="00996660">
        <w:t>:</w:t>
      </w:r>
      <w:r w:rsidR="002F59AB" w:rsidRPr="002F59AB">
        <w:t xml:space="preserve"> </w:t>
      </w:r>
      <w:proofErr w:type="gramStart"/>
      <w:r w:rsidR="00996660" w:rsidRPr="00996660">
        <w:t xml:space="preserve">Ленинградская область, Всеволожский р-н, дер. </w:t>
      </w:r>
      <w:proofErr w:type="spellStart"/>
      <w:r w:rsidR="00996660" w:rsidRPr="00996660">
        <w:t>Мистолово</w:t>
      </w:r>
      <w:proofErr w:type="spellEnd"/>
      <w:r w:rsidR="00996660" w:rsidRPr="00996660">
        <w:t xml:space="preserve">, ул. Людмилы </w:t>
      </w:r>
      <w:proofErr w:type="spellStart"/>
      <w:r w:rsidR="00996660" w:rsidRPr="00996660">
        <w:t>Кедриной</w:t>
      </w:r>
      <w:proofErr w:type="spellEnd"/>
      <w:r w:rsidR="00996660" w:rsidRPr="00996660">
        <w:t xml:space="preserve"> </w:t>
      </w:r>
      <w:r w:rsidR="002F59AB">
        <w:t xml:space="preserve"> </w:t>
      </w:r>
      <w:r w:rsidR="00996660">
        <w:t>на</w:t>
      </w:r>
      <w:r w:rsidR="002F59AB">
        <w:t xml:space="preserve"> </w:t>
      </w:r>
      <w:r w:rsidR="00996660">
        <w:t>территории курорта «</w:t>
      </w:r>
      <w:proofErr w:type="spellStart"/>
      <w:r w:rsidR="00996660">
        <w:t>Охта</w:t>
      </w:r>
      <w:proofErr w:type="spellEnd"/>
      <w:r w:rsidR="00996660">
        <w:t xml:space="preserve">-Парк» в конференц-зале </w:t>
      </w:r>
      <w:r w:rsidR="002F59AB">
        <w:t xml:space="preserve"> (От метро «Девяткино»</w:t>
      </w:r>
      <w:r w:rsidR="003721F0">
        <w:t xml:space="preserve"> </w:t>
      </w:r>
      <w:r w:rsidR="00996660">
        <w:t>автобус</w:t>
      </w:r>
      <w:r w:rsidR="003721F0">
        <w:t xml:space="preserve"> К6</w:t>
      </w:r>
      <w:r w:rsidR="00996660">
        <w:t>80, от метро «Парнас</w:t>
      </w:r>
      <w:r w:rsidR="003721F0">
        <w:t xml:space="preserve">», </w:t>
      </w:r>
      <w:r w:rsidR="00996660">
        <w:t>автобус К674.</w:t>
      </w:r>
      <w:proofErr w:type="gramEnd"/>
      <w:r w:rsidR="003721F0">
        <w:t xml:space="preserve"> </w:t>
      </w:r>
      <w:proofErr w:type="gramStart"/>
      <w:r w:rsidR="003721F0">
        <w:t>Орие</w:t>
      </w:r>
      <w:r w:rsidR="00996660">
        <w:t>нтировочное время в пути – 25-30</w:t>
      </w:r>
      <w:r w:rsidR="003721F0">
        <w:t xml:space="preserve"> мин).</w:t>
      </w:r>
      <w:proofErr w:type="gramEnd"/>
      <w:r w:rsidR="00A4172E" w:rsidRPr="00145E2B">
        <w:t xml:space="preserve"> </w:t>
      </w:r>
      <w:r w:rsidR="002F59AB">
        <w:t xml:space="preserve"> </w:t>
      </w:r>
      <w:r w:rsidR="00E76AC9">
        <w:t>Регист</w:t>
      </w:r>
      <w:r w:rsidR="00141355">
        <w:t>рация участников</w:t>
      </w:r>
      <w:r w:rsidR="00570B6C">
        <w:t xml:space="preserve"> в день соревнований</w:t>
      </w:r>
      <w:r w:rsidR="00141355">
        <w:t xml:space="preserve"> с 1</w:t>
      </w:r>
      <w:r w:rsidR="00151414">
        <w:t>0</w:t>
      </w:r>
      <w:r w:rsidR="00141355">
        <w:t>:</w:t>
      </w:r>
      <w:r w:rsidR="00DE29A6" w:rsidRPr="00DE29A6">
        <w:t>15</w:t>
      </w:r>
      <w:r w:rsidR="00141355">
        <w:t xml:space="preserve"> до 11:</w:t>
      </w:r>
      <w:r w:rsidR="00DE29A6" w:rsidRPr="00DE29A6">
        <w:t>40 (</w:t>
      </w:r>
      <w:r w:rsidR="00DE29A6">
        <w:t>участники зарегистрировавшиеся после 11:40 будут включены в жеребьёвку со 2-ого тура)</w:t>
      </w:r>
      <w:proofErr w:type="gramStart"/>
      <w:r w:rsidR="00DE29A6">
        <w:t xml:space="preserve"> </w:t>
      </w:r>
      <w:r w:rsidR="00A4172E" w:rsidRPr="00145E2B">
        <w:t>.</w:t>
      </w:r>
      <w:proofErr w:type="gramEnd"/>
      <w:r w:rsidR="00A4172E" w:rsidRPr="00145E2B">
        <w:t xml:space="preserve"> </w:t>
      </w:r>
    </w:p>
    <w:p w:rsidR="00A97941" w:rsidRPr="00145E2B" w:rsidRDefault="00A97941" w:rsidP="00A97941">
      <w:pPr>
        <w:widowControl w:val="0"/>
        <w:autoSpaceDE w:val="0"/>
        <w:autoSpaceDN w:val="0"/>
        <w:adjustRightInd w:val="0"/>
        <w:rPr>
          <w:b/>
        </w:rPr>
      </w:pPr>
    </w:p>
    <w:p w:rsidR="007371AB" w:rsidRPr="00145E2B" w:rsidRDefault="00A4172E" w:rsidP="00A979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5E2B">
        <w:rPr>
          <w:b/>
        </w:rPr>
        <w:t>3. Организация соревнования</w:t>
      </w:r>
    </w:p>
    <w:p w:rsidR="009D479E" w:rsidRDefault="006E6912" w:rsidP="009A5F8B">
      <w:pPr>
        <w:widowControl w:val="0"/>
        <w:autoSpaceDE w:val="0"/>
        <w:autoSpaceDN w:val="0"/>
        <w:adjustRightInd w:val="0"/>
        <w:jc w:val="both"/>
      </w:pPr>
      <w:r w:rsidRPr="00145E2B">
        <w:t xml:space="preserve">      </w:t>
      </w:r>
      <w:r w:rsidR="00570B6C">
        <w:t xml:space="preserve">Общее руководство по подготовке и проведению соревнований осуществляет шахматная федерация Всеволожского района и Региональная спортивная федерация шахмат Ленинградской области. </w:t>
      </w:r>
      <w:r w:rsidR="00A97941" w:rsidRPr="00145E2B">
        <w:t>Непосредственное руководство и проведение соревнований осуществляет</w:t>
      </w:r>
      <w:r w:rsidR="00485F1F" w:rsidRPr="00145E2B">
        <w:t xml:space="preserve"> </w:t>
      </w:r>
      <w:r w:rsidR="00F103E1">
        <w:t>Токсовский</w:t>
      </w:r>
      <w:r w:rsidR="00F466B3">
        <w:t xml:space="preserve"> шахматный клуб.</w:t>
      </w:r>
      <w:r w:rsidR="00B86EBA">
        <w:t xml:space="preserve"> Главный судья соревнований – Смирнов С.И.</w:t>
      </w:r>
      <w:r w:rsidR="00F466B3">
        <w:t xml:space="preserve"> </w:t>
      </w:r>
      <w:r w:rsidR="00A4172E" w:rsidRPr="00145E2B">
        <w:t xml:space="preserve">Соревнования проводятся по правилам вида спорта «Шахматы», система проведения соревнований </w:t>
      </w:r>
      <w:r w:rsidR="00A72F6D">
        <w:t xml:space="preserve"> - </w:t>
      </w:r>
      <w:r w:rsidR="00570B6C">
        <w:t>7</w:t>
      </w:r>
      <w:r w:rsidR="00F466B3">
        <w:t xml:space="preserve"> туров по швейцарской системе</w:t>
      </w:r>
      <w:r w:rsidR="001E402B" w:rsidRPr="001E402B">
        <w:t xml:space="preserve"> (</w:t>
      </w:r>
      <w:r w:rsidR="001E402B">
        <w:t>6 туров для турнира «А»)</w:t>
      </w:r>
      <w:r w:rsidR="00A4172E" w:rsidRPr="00145E2B">
        <w:t xml:space="preserve">. </w:t>
      </w:r>
    </w:p>
    <w:p w:rsidR="009D479E" w:rsidRDefault="00A4172E" w:rsidP="009A5F8B">
      <w:pPr>
        <w:widowControl w:val="0"/>
        <w:autoSpaceDE w:val="0"/>
        <w:autoSpaceDN w:val="0"/>
        <w:adjustRightInd w:val="0"/>
        <w:jc w:val="both"/>
      </w:pPr>
      <w:r w:rsidRPr="00145E2B">
        <w:t>Контрол</w:t>
      </w:r>
      <w:r w:rsidR="009D479E">
        <w:t>ь времени на обдумывание ходов:</w:t>
      </w:r>
    </w:p>
    <w:p w:rsidR="009D479E" w:rsidRDefault="009D479E" w:rsidP="009A5F8B">
      <w:pPr>
        <w:widowControl w:val="0"/>
        <w:autoSpaceDE w:val="0"/>
        <w:autoSpaceDN w:val="0"/>
        <w:adjustRightInd w:val="0"/>
        <w:jc w:val="both"/>
      </w:pPr>
      <w:r>
        <w:t xml:space="preserve">В турнире «А» - </w:t>
      </w:r>
      <w:r w:rsidRPr="00FC3DB5">
        <w:t>30 минут на партию с присуждением</w:t>
      </w:r>
    </w:p>
    <w:p w:rsidR="009D479E" w:rsidRDefault="009D479E" w:rsidP="009D479E">
      <w:pPr>
        <w:widowControl w:val="0"/>
        <w:autoSpaceDE w:val="0"/>
        <w:autoSpaceDN w:val="0"/>
        <w:adjustRightInd w:val="0"/>
        <w:jc w:val="both"/>
      </w:pPr>
      <w:r>
        <w:t>В турнире «В» - по 15 минут до конца партии каждому участнику</w:t>
      </w:r>
    </w:p>
    <w:p w:rsidR="009D479E" w:rsidRDefault="009D479E" w:rsidP="009D479E">
      <w:pPr>
        <w:widowControl w:val="0"/>
        <w:autoSpaceDE w:val="0"/>
        <w:autoSpaceDN w:val="0"/>
        <w:adjustRightInd w:val="0"/>
        <w:jc w:val="both"/>
      </w:pPr>
      <w:r>
        <w:t>В турнире «С» - по 10 минут до конца партии каждому участнику с добавлением 5 секунд за сделанный ход</w:t>
      </w:r>
    </w:p>
    <w:p w:rsidR="009A5F8B" w:rsidRDefault="00FC3DB5" w:rsidP="009A5F8B">
      <w:pPr>
        <w:widowControl w:val="0"/>
        <w:autoSpaceDE w:val="0"/>
        <w:autoSpaceDN w:val="0"/>
        <w:adjustRightInd w:val="0"/>
        <w:jc w:val="both"/>
      </w:pPr>
      <w:r>
        <w:t>При проведении</w:t>
      </w:r>
      <w:r w:rsidR="009A5F8B">
        <w:t xml:space="preserve"> жеребьёвки и подведения итогов соревнования, используется программа </w:t>
      </w:r>
      <w:r w:rsidR="009A5F8B" w:rsidRPr="00CD3C73">
        <w:t>“</w:t>
      </w:r>
      <w:r w:rsidR="009A5F8B">
        <w:rPr>
          <w:lang w:val="en-US"/>
        </w:rPr>
        <w:t>Swiss</w:t>
      </w:r>
      <w:r w:rsidR="009A5F8B" w:rsidRPr="00CD3C73">
        <w:t>-</w:t>
      </w:r>
      <w:r w:rsidR="009A5F8B">
        <w:rPr>
          <w:lang w:val="en-US"/>
        </w:rPr>
        <w:t>Manager</w:t>
      </w:r>
      <w:r w:rsidR="009A5F8B" w:rsidRPr="00CD3C73">
        <w:t>”</w:t>
      </w:r>
      <w:r w:rsidR="009A5F8B" w:rsidRPr="00145E2B">
        <w:t>.</w:t>
      </w:r>
    </w:p>
    <w:p w:rsidR="00A97941" w:rsidRPr="00145E2B" w:rsidRDefault="00A97941" w:rsidP="00A97941">
      <w:pPr>
        <w:jc w:val="both"/>
      </w:pPr>
    </w:p>
    <w:p w:rsidR="007371AB" w:rsidRPr="00145E2B" w:rsidRDefault="006E6912" w:rsidP="007371AB">
      <w:pPr>
        <w:widowControl w:val="0"/>
        <w:autoSpaceDE w:val="0"/>
        <w:autoSpaceDN w:val="0"/>
        <w:adjustRightInd w:val="0"/>
      </w:pPr>
      <w:r w:rsidRPr="00145E2B">
        <w:t xml:space="preserve">      </w:t>
      </w:r>
    </w:p>
    <w:p w:rsidR="007371AB" w:rsidRDefault="00A97941" w:rsidP="00A979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5E2B">
        <w:rPr>
          <w:b/>
        </w:rPr>
        <w:t>4. Участники соревнования</w:t>
      </w:r>
    </w:p>
    <w:p w:rsidR="00FC3DB5" w:rsidRPr="00AC3A6B" w:rsidRDefault="00FC3DB5" w:rsidP="00FC3DB5">
      <w:pPr>
        <w:jc w:val="both"/>
      </w:pPr>
      <w:r w:rsidRPr="00F61906">
        <w:rPr>
          <w:b/>
        </w:rPr>
        <w:t>Турнир «</w:t>
      </w:r>
      <w:r>
        <w:rPr>
          <w:b/>
        </w:rPr>
        <w:t>А</w:t>
      </w:r>
      <w:r>
        <w:t xml:space="preserve">». Играют шахматисты </w:t>
      </w:r>
      <w:r w:rsidR="00DE29A6">
        <w:t>2010 г.р.</w:t>
      </w:r>
      <w:r w:rsidR="00DE29A6" w:rsidRPr="00AC3A6B">
        <w:t xml:space="preserve"> и моложе</w:t>
      </w:r>
      <w:r w:rsidR="00DE29A6">
        <w:t xml:space="preserve"> с российским рейтингом не более 1050</w:t>
      </w:r>
      <w:r w:rsidRPr="00AC3A6B">
        <w:t>.</w:t>
      </w:r>
      <w:r>
        <w:t xml:space="preserve"> </w:t>
      </w:r>
    </w:p>
    <w:p w:rsidR="00FC3DB5" w:rsidRDefault="00FC3DB5" w:rsidP="00FC3DB5">
      <w:pPr>
        <w:jc w:val="both"/>
      </w:pPr>
      <w:r>
        <w:t>Участники играют в одном турнире</w:t>
      </w:r>
      <w:r w:rsidRPr="00AC3A6B">
        <w:t xml:space="preserve">. </w:t>
      </w:r>
      <w:r>
        <w:t>По итогам турнира, определ</w:t>
      </w:r>
      <w:r w:rsidR="004C03D5">
        <w:t>яются лучшие спортсмены в общем</w:t>
      </w:r>
      <w:r>
        <w:t xml:space="preserve">  зачете  и</w:t>
      </w:r>
      <w:r w:rsidR="004C03D5">
        <w:t xml:space="preserve"> лучший результат </w:t>
      </w:r>
      <w:r>
        <w:t>среди девочек.</w:t>
      </w:r>
    </w:p>
    <w:p w:rsidR="00FC3DB5" w:rsidRDefault="00CA0837" w:rsidP="00FC3DB5">
      <w:pPr>
        <w:jc w:val="both"/>
      </w:pPr>
      <w:r>
        <w:t>Турнирный взнос 4</w:t>
      </w:r>
      <w:r w:rsidR="00FC3DB5">
        <w:t>00 рублей</w:t>
      </w:r>
    </w:p>
    <w:p w:rsidR="007837B7" w:rsidRPr="00AC3A6B" w:rsidRDefault="007837B7" w:rsidP="007837B7">
      <w:pPr>
        <w:jc w:val="both"/>
      </w:pPr>
      <w:r w:rsidRPr="00F61906">
        <w:rPr>
          <w:b/>
        </w:rPr>
        <w:t>Турнир «</w:t>
      </w:r>
      <w:r>
        <w:rPr>
          <w:b/>
        </w:rPr>
        <w:t>В</w:t>
      </w:r>
      <w:r>
        <w:t xml:space="preserve">». Проводится с обсчетом российского рейтинга по быстрым шахматам. Играют шахматисты </w:t>
      </w:r>
      <w:r w:rsidR="004C03D5">
        <w:t>с российским рейтингом не более 1450</w:t>
      </w:r>
      <w:r>
        <w:t>, 200</w:t>
      </w:r>
      <w:r w:rsidR="00DD670F" w:rsidRPr="00DD670F">
        <w:t>6</w:t>
      </w:r>
      <w:r>
        <w:t xml:space="preserve"> г.р. и моложе, на момент начала соревнований имеющие ИД </w:t>
      </w:r>
      <w:r w:rsidR="00DE29A6">
        <w:t>РШФ</w:t>
      </w:r>
      <w:r>
        <w:t>.</w:t>
      </w:r>
    </w:p>
    <w:p w:rsidR="007837B7" w:rsidRPr="00AC3A6B" w:rsidRDefault="007837B7" w:rsidP="007837B7">
      <w:pPr>
        <w:jc w:val="both"/>
      </w:pPr>
      <w:r>
        <w:t>Участники играют в одном турнире</w:t>
      </w:r>
      <w:r w:rsidRPr="00AC3A6B">
        <w:t xml:space="preserve">. </w:t>
      </w:r>
      <w:r w:rsidR="004C03D5">
        <w:t xml:space="preserve">По итогам турнира, определяются лучшие спортсмены в общем  зачете  и лучший результат среди девочек. </w:t>
      </w:r>
      <w:r>
        <w:t>Турнирный взнос 400 рублей</w:t>
      </w:r>
    </w:p>
    <w:p w:rsidR="009D479E" w:rsidRDefault="00FC3DB5" w:rsidP="00FC3DB5">
      <w:pPr>
        <w:jc w:val="both"/>
      </w:pPr>
      <w:r w:rsidRPr="00F61906">
        <w:rPr>
          <w:b/>
        </w:rPr>
        <w:t>Турнир «</w:t>
      </w:r>
      <w:r w:rsidR="007837B7">
        <w:rPr>
          <w:b/>
        </w:rPr>
        <w:t>С</w:t>
      </w:r>
      <w:r>
        <w:t xml:space="preserve">». </w:t>
      </w:r>
      <w:r w:rsidRPr="006A5E3E">
        <w:rPr>
          <w:b/>
        </w:rPr>
        <w:t xml:space="preserve">Проводится с обсчетом </w:t>
      </w:r>
      <w:r w:rsidR="007837B7">
        <w:rPr>
          <w:b/>
        </w:rPr>
        <w:t>российского</w:t>
      </w:r>
      <w:r w:rsidRPr="006A5E3E">
        <w:rPr>
          <w:b/>
        </w:rPr>
        <w:t xml:space="preserve"> рейтинга  по быстрым шахматам</w:t>
      </w:r>
      <w:r>
        <w:t xml:space="preserve">. Играют шахматисты </w:t>
      </w:r>
      <w:r w:rsidR="007837B7">
        <w:t xml:space="preserve"> </w:t>
      </w:r>
      <w:r w:rsidR="009D479E">
        <w:t xml:space="preserve"> без ограничений по возрасту,</w:t>
      </w:r>
      <w:r w:rsidR="007837B7">
        <w:t xml:space="preserve"> </w:t>
      </w:r>
      <w:r>
        <w:t xml:space="preserve"> на момент начала соревнований, имеющие ИД </w:t>
      </w:r>
      <w:r w:rsidR="00DE29A6">
        <w:t>РШФ</w:t>
      </w:r>
      <w:r>
        <w:t xml:space="preserve">. </w:t>
      </w:r>
    </w:p>
    <w:p w:rsidR="00FC3DB5" w:rsidRDefault="00FC3DB5" w:rsidP="00FC3DB5">
      <w:pPr>
        <w:jc w:val="both"/>
      </w:pPr>
      <w:r>
        <w:t>Участники играют в одном турнире</w:t>
      </w:r>
      <w:r w:rsidRPr="00AC3A6B">
        <w:t xml:space="preserve">. </w:t>
      </w:r>
      <w:r w:rsidR="004C03D5">
        <w:t>По итогам турнира, определяются лучшие спортсмены в общем  зачете  и лучший женский результат.</w:t>
      </w:r>
      <w:r>
        <w:t xml:space="preserve"> Турнирный взнос 400 рублей.</w:t>
      </w:r>
    </w:p>
    <w:p w:rsidR="008B6C32" w:rsidRPr="00145E2B" w:rsidRDefault="008B6C32" w:rsidP="00D34AA0">
      <w:pPr>
        <w:jc w:val="both"/>
        <w:rPr>
          <w:b/>
        </w:rPr>
      </w:pPr>
    </w:p>
    <w:p w:rsidR="008B6C32" w:rsidRPr="00145E2B" w:rsidRDefault="008B6C32" w:rsidP="008B6C32">
      <w:pPr>
        <w:jc w:val="both"/>
      </w:pPr>
      <w:r w:rsidRPr="00145E2B">
        <w:t xml:space="preserve">     </w:t>
      </w:r>
    </w:p>
    <w:p w:rsidR="007371AB" w:rsidRPr="00145E2B" w:rsidRDefault="00F466B3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7371AB" w:rsidRPr="00145E2B">
        <w:rPr>
          <w:b/>
        </w:rPr>
        <w:t>. Обеспечение безопасности участников и зрителей соревнований</w:t>
      </w:r>
    </w:p>
    <w:p w:rsidR="008B6C32" w:rsidRPr="00145E2B" w:rsidRDefault="008B6C32" w:rsidP="008B6C32">
      <w:pPr>
        <w:jc w:val="both"/>
      </w:pPr>
      <w:r w:rsidRPr="00145E2B">
        <w:t xml:space="preserve">        </w:t>
      </w:r>
      <w:proofErr w:type="gramStart"/>
      <w:r w:rsidRPr="00145E2B">
        <w:t>В целях безопасности участников и зрителей соревнования разрешается проводить на спортивных сооружениях, принятых к эксплуатации при условии наличии актов технического обследования готовности технического сооружения к проведению мероприятий в соответствии с «Положением о мерах по обеспечению общественного порядка и безопасности, эвакуации и оповещения участников и зрителей при проведении спортивных массовых мероприятий» (приказ Комитет по физической культуре и спорту СССР №7856 от</w:t>
      </w:r>
      <w:proofErr w:type="gramEnd"/>
      <w:r w:rsidRPr="00145E2B">
        <w:t xml:space="preserve"> 17.10.1983) и «Рекомендациями по обеспечению безопасности и профилактики травматизма при занятиях физической культурой и спортом» (приказ Госкомспорта РФ №44 от 01.04.1994).</w:t>
      </w:r>
    </w:p>
    <w:p w:rsidR="008B6C32" w:rsidRPr="00145E2B" w:rsidRDefault="008B6C32" w:rsidP="007371AB">
      <w:pPr>
        <w:widowControl w:val="0"/>
        <w:autoSpaceDE w:val="0"/>
        <w:autoSpaceDN w:val="0"/>
        <w:adjustRightInd w:val="0"/>
        <w:rPr>
          <w:b/>
        </w:rPr>
      </w:pPr>
    </w:p>
    <w:p w:rsidR="00E20E10" w:rsidRDefault="00E20E10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20E10" w:rsidRDefault="00E20E10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71AB" w:rsidRPr="00145E2B" w:rsidRDefault="00F466B3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7371AB" w:rsidRPr="00145E2B">
        <w:rPr>
          <w:b/>
        </w:rPr>
        <w:t xml:space="preserve">. </w:t>
      </w:r>
      <w:r w:rsidR="008B6C32" w:rsidRPr="00145E2B">
        <w:rPr>
          <w:b/>
        </w:rPr>
        <w:t>Условия подведения итогов и награждения</w:t>
      </w:r>
    </w:p>
    <w:p w:rsidR="00625D8A" w:rsidRDefault="008B6C32" w:rsidP="00625D8A">
      <w:pPr>
        <w:jc w:val="both"/>
      </w:pPr>
      <w:r w:rsidRPr="00145E2B">
        <w:t xml:space="preserve">         </w:t>
      </w:r>
      <w:r w:rsidR="00B91126">
        <w:tab/>
      </w:r>
      <w:r w:rsidR="00625D8A">
        <w:t>Места участников определяются по наибольшему количеству очков, набранных в 7 турах</w:t>
      </w:r>
      <w:r w:rsidR="001E402B">
        <w:t xml:space="preserve"> (6 турах для турнира «А»)</w:t>
      </w:r>
      <w:r w:rsidR="00625D8A">
        <w:t>, а при их равенстве по дополнительным показателям:</w:t>
      </w:r>
    </w:p>
    <w:p w:rsidR="00625D8A" w:rsidRPr="00AC3A6B" w:rsidRDefault="00625D8A" w:rsidP="00625D8A">
      <w:pPr>
        <w:jc w:val="both"/>
      </w:pPr>
      <w:proofErr w:type="spellStart"/>
      <w:r>
        <w:t>Бухгольц</w:t>
      </w:r>
      <w:proofErr w:type="spellEnd"/>
      <w:r>
        <w:t xml:space="preserve">, усеченный </w:t>
      </w:r>
      <w:proofErr w:type="spellStart"/>
      <w:r>
        <w:t>Бухгольц</w:t>
      </w:r>
      <w:proofErr w:type="spellEnd"/>
      <w:r>
        <w:t xml:space="preserve">, </w:t>
      </w:r>
      <w:proofErr w:type="spellStart"/>
      <w:r>
        <w:t>Бергер</w:t>
      </w:r>
      <w:proofErr w:type="spellEnd"/>
      <w:r>
        <w:t>, количество побед, личная встреча</w:t>
      </w:r>
      <w:r w:rsidRPr="00AC3A6B">
        <w:t>.</w:t>
      </w:r>
    </w:p>
    <w:p w:rsidR="00DC6EB5" w:rsidRPr="00145E2B" w:rsidRDefault="00625D8A" w:rsidP="00625D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C3A6B">
        <w:t>Участники, занявши</w:t>
      </w:r>
      <w:r>
        <w:t>е 1, 2, 3 места в</w:t>
      </w:r>
      <w:r w:rsidR="004C03D5">
        <w:t xml:space="preserve"> общих зачётах</w:t>
      </w:r>
      <w:r>
        <w:t xml:space="preserve"> турнир</w:t>
      </w:r>
      <w:r w:rsidR="004C03D5">
        <w:t>ов</w:t>
      </w:r>
      <w:r>
        <w:t xml:space="preserve"> «А»</w:t>
      </w:r>
      <w:proofErr w:type="gramStart"/>
      <w:r>
        <w:t>,«</w:t>
      </w:r>
      <w:proofErr w:type="gramEnd"/>
      <w:r>
        <w:t>В»,«С» и</w:t>
      </w:r>
      <w:r w:rsidR="004C03D5">
        <w:t xml:space="preserve">  </w:t>
      </w:r>
      <w:r w:rsidR="005A5F40">
        <w:t>участницы показавшие лучший</w:t>
      </w:r>
      <w:r w:rsidR="004C03D5">
        <w:t xml:space="preserve"> результат в своих </w:t>
      </w:r>
      <w:r w:rsidR="005A5F40">
        <w:t>турнирах</w:t>
      </w:r>
      <w:r w:rsidRPr="00AC3A6B">
        <w:t>, награждаются медалями и дипломами соответствующих степеней</w:t>
      </w:r>
      <w:r w:rsidR="002C61F0">
        <w:t>, а также спортивным инвентарём предоставляемым спонсорами</w:t>
      </w:r>
      <w:r>
        <w:t>.</w:t>
      </w:r>
    </w:p>
    <w:p w:rsidR="00625D8A" w:rsidRDefault="00625D8A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71AB" w:rsidRPr="00145E2B" w:rsidRDefault="00041D46" w:rsidP="008B6C3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7371AB" w:rsidRPr="00145E2B">
        <w:rPr>
          <w:b/>
        </w:rPr>
        <w:t>. Финансирование</w:t>
      </w:r>
    </w:p>
    <w:p w:rsidR="00041D46" w:rsidRPr="00145E2B" w:rsidRDefault="001A00EB" w:rsidP="00E20E10">
      <w:pPr>
        <w:widowControl w:val="0"/>
        <w:autoSpaceDE w:val="0"/>
        <w:autoSpaceDN w:val="0"/>
        <w:adjustRightInd w:val="0"/>
        <w:ind w:firstLine="708"/>
        <w:jc w:val="both"/>
      </w:pPr>
      <w:r w:rsidRPr="00145E2B">
        <w:t xml:space="preserve">Расходы  по финансированию соревнований </w:t>
      </w:r>
      <w:r w:rsidR="0085713E">
        <w:t xml:space="preserve">несёт </w:t>
      </w:r>
      <w:r w:rsidR="00625D8A">
        <w:t xml:space="preserve"> Токсовский</w:t>
      </w:r>
      <w:r w:rsidR="00E20E10">
        <w:t xml:space="preserve"> ШК</w:t>
      </w:r>
      <w:r w:rsidR="00625D8A">
        <w:t>.</w:t>
      </w:r>
      <w:r w:rsidR="003F7B89">
        <w:t xml:space="preserve"> Собранные турнирные взносы, за исключением организационных расходов, будут направлены на благотворительные проекты осуществляемые Фондом «Токсовская перспектива». </w:t>
      </w:r>
      <w:r w:rsidR="00625D8A">
        <w:t xml:space="preserve"> </w:t>
      </w:r>
      <w:r w:rsidR="00625D8A" w:rsidRPr="00AC3A6B">
        <w:t>Все расходы по командированию участников несут командирующие организации.</w:t>
      </w:r>
      <w:r w:rsidR="00133885">
        <w:t xml:space="preserve"> </w:t>
      </w:r>
    </w:p>
    <w:p w:rsidR="001A00EB" w:rsidRPr="00145E2B" w:rsidRDefault="001A00EB" w:rsidP="001A00E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5D8A" w:rsidRDefault="00625D8A" w:rsidP="001A00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71AB" w:rsidRPr="00145E2B" w:rsidRDefault="00041D46" w:rsidP="001A00E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7371AB" w:rsidRPr="00145E2B">
        <w:rPr>
          <w:b/>
        </w:rPr>
        <w:t>. Условия подачи заявки</w:t>
      </w:r>
    </w:p>
    <w:p w:rsidR="007371AB" w:rsidRPr="0099731C" w:rsidRDefault="00625D8A" w:rsidP="0099731C">
      <w:pPr>
        <w:jc w:val="both"/>
      </w:pPr>
      <w:r>
        <w:t>Предварительные заявки</w:t>
      </w:r>
      <w:r w:rsidR="0099731C">
        <w:t xml:space="preserve"> (ФИО, дата рождения, разряд, ИД </w:t>
      </w:r>
      <w:r w:rsidR="0099731C">
        <w:rPr>
          <w:lang w:val="en-US"/>
        </w:rPr>
        <w:t>FIDE</w:t>
      </w:r>
      <w:r w:rsidR="0099731C" w:rsidRPr="0099731C">
        <w:t xml:space="preserve"> </w:t>
      </w:r>
      <w:r w:rsidR="0099731C">
        <w:t xml:space="preserve">при наличии, турнир - А/В/С) </w:t>
      </w:r>
      <w:r>
        <w:t xml:space="preserve"> </w:t>
      </w:r>
      <w:r w:rsidRPr="00D23A8A">
        <w:t xml:space="preserve">подаются </w:t>
      </w:r>
      <w:r w:rsidR="0099731C">
        <w:rPr>
          <w:rStyle w:val="a6"/>
          <w:b w:val="0"/>
        </w:rPr>
        <w:t>Федуловой</w:t>
      </w:r>
      <w:r w:rsidRPr="00D23A8A">
        <w:rPr>
          <w:rStyle w:val="a6"/>
          <w:b w:val="0"/>
        </w:rPr>
        <w:t xml:space="preserve"> </w:t>
      </w:r>
      <w:r w:rsidR="00B91B0F">
        <w:rPr>
          <w:rStyle w:val="a6"/>
          <w:b w:val="0"/>
        </w:rPr>
        <w:t>Ксении</w:t>
      </w:r>
      <w:r w:rsidRPr="00D23A8A">
        <w:rPr>
          <w:rStyle w:val="a6"/>
          <w:b w:val="0"/>
        </w:rPr>
        <w:t xml:space="preserve"> </w:t>
      </w:r>
      <w:r w:rsidR="0099731C">
        <w:rPr>
          <w:rStyle w:val="a6"/>
          <w:b w:val="0"/>
        </w:rPr>
        <w:t>Андреевне</w:t>
      </w:r>
      <w:r w:rsidRPr="00D23A8A">
        <w:t xml:space="preserve"> по электронной почте: </w:t>
      </w:r>
      <w:hyperlink r:id="rId8" w:history="1">
        <w:r w:rsidR="00B91B0F" w:rsidRPr="00DC616A">
          <w:rPr>
            <w:rStyle w:val="a5"/>
            <w:lang w:val="en-US"/>
          </w:rPr>
          <w:t>kdebkova</w:t>
        </w:r>
        <w:r w:rsidR="00B91B0F" w:rsidRPr="00DC616A">
          <w:rPr>
            <w:rStyle w:val="a5"/>
          </w:rPr>
          <w:t>@</w:t>
        </w:r>
        <w:r w:rsidR="00B91B0F" w:rsidRPr="00DC616A">
          <w:rPr>
            <w:rStyle w:val="a5"/>
            <w:lang w:val="en-US"/>
          </w:rPr>
          <w:t>mail</w:t>
        </w:r>
        <w:r w:rsidR="00B91B0F" w:rsidRPr="00DC616A">
          <w:rPr>
            <w:rStyle w:val="a5"/>
          </w:rPr>
          <w:t>.</w:t>
        </w:r>
        <w:proofErr w:type="spellStart"/>
        <w:r w:rsidR="00B91B0F" w:rsidRPr="00DC616A">
          <w:rPr>
            <w:rStyle w:val="a5"/>
          </w:rPr>
          <w:t>ru</w:t>
        </w:r>
        <w:proofErr w:type="spellEnd"/>
      </w:hyperlink>
      <w:r w:rsidR="00B86EBA">
        <w:t xml:space="preserve"> </w:t>
      </w:r>
      <w:r w:rsidRPr="00D23A8A">
        <w:t xml:space="preserve"> т</w:t>
      </w:r>
      <w:r w:rsidR="00B91B0F">
        <w:t>елефон 8-931-272-96-06</w:t>
      </w:r>
      <w:r w:rsidR="00B86EBA">
        <w:t>, ,</w:t>
      </w:r>
      <w:r w:rsidR="0099731C">
        <w:t xml:space="preserve"> </w:t>
      </w:r>
      <w:r w:rsidR="00C05480">
        <w:t>до 21</w:t>
      </w:r>
      <w:r w:rsidR="004C03D5">
        <w:t xml:space="preserve"> июля</w:t>
      </w:r>
      <w:r>
        <w:t xml:space="preserve"> 2017 года</w:t>
      </w:r>
      <w:proofErr w:type="gramStart"/>
      <w:r w:rsidRPr="006B5CB7">
        <w:rPr>
          <w:b/>
        </w:rPr>
        <w:t>.</w:t>
      </w:r>
      <w:proofErr w:type="gramEnd"/>
      <w:r w:rsidRPr="006B5CB7">
        <w:rPr>
          <w:b/>
        </w:rPr>
        <w:t xml:space="preserve"> </w:t>
      </w:r>
      <w:r w:rsidR="00B86EBA">
        <w:t>Те</w:t>
      </w:r>
      <w:r w:rsidR="00B86EBA">
        <w:t>лефон главного судьи 8-921-980-17-48</w:t>
      </w:r>
      <w:r w:rsidR="00B86EBA">
        <w:t xml:space="preserve"> </w:t>
      </w:r>
      <w:r w:rsidRPr="006B5CB7">
        <w:rPr>
          <w:b/>
        </w:rPr>
        <w:t>Заявки по установленной форме подаются по прибытию на соревнования.</w:t>
      </w:r>
    </w:p>
    <w:p w:rsidR="00625D8A" w:rsidRDefault="00625D8A" w:rsidP="007371AB">
      <w:pPr>
        <w:jc w:val="center"/>
        <w:rPr>
          <w:b/>
          <w:sz w:val="28"/>
          <w:szCs w:val="22"/>
        </w:rPr>
      </w:pPr>
    </w:p>
    <w:p w:rsidR="007371AB" w:rsidRPr="00D533BB" w:rsidRDefault="007371AB" w:rsidP="007371AB">
      <w:pPr>
        <w:jc w:val="center"/>
        <w:rPr>
          <w:b/>
          <w:sz w:val="28"/>
          <w:szCs w:val="22"/>
        </w:rPr>
      </w:pPr>
      <w:r w:rsidRPr="00D533BB">
        <w:rPr>
          <w:b/>
          <w:sz w:val="28"/>
          <w:szCs w:val="22"/>
        </w:rPr>
        <w:t xml:space="preserve">Данное положение </w:t>
      </w:r>
      <w:r w:rsidR="00D533BB">
        <w:rPr>
          <w:b/>
          <w:sz w:val="28"/>
          <w:szCs w:val="22"/>
        </w:rPr>
        <w:t xml:space="preserve">является официальным </w:t>
      </w:r>
      <w:r w:rsidR="00E20E10">
        <w:rPr>
          <w:b/>
          <w:sz w:val="28"/>
          <w:szCs w:val="22"/>
        </w:rPr>
        <w:t>приглашением</w:t>
      </w:r>
      <w:r w:rsidR="00D533BB">
        <w:rPr>
          <w:b/>
          <w:sz w:val="28"/>
          <w:szCs w:val="22"/>
        </w:rPr>
        <w:t xml:space="preserve"> на соревнование</w:t>
      </w:r>
    </w:p>
    <w:p w:rsidR="007371AB" w:rsidRPr="00145E2B" w:rsidRDefault="007371AB"/>
    <w:sectPr w:rsidR="007371AB" w:rsidRPr="00145E2B" w:rsidSect="001A00E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92B"/>
    <w:multiLevelType w:val="hybridMultilevel"/>
    <w:tmpl w:val="26D05698"/>
    <w:lvl w:ilvl="0" w:tplc="D6CCD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5F1C47"/>
    <w:multiLevelType w:val="hybridMultilevel"/>
    <w:tmpl w:val="03A8AB60"/>
    <w:lvl w:ilvl="0" w:tplc="76368192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235E5"/>
    <w:multiLevelType w:val="hybridMultilevel"/>
    <w:tmpl w:val="9B7C4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AB"/>
    <w:rsid w:val="00041D46"/>
    <w:rsid w:val="00063775"/>
    <w:rsid w:val="000C2B18"/>
    <w:rsid w:val="000D5937"/>
    <w:rsid w:val="00133885"/>
    <w:rsid w:val="00141355"/>
    <w:rsid w:val="00145E2B"/>
    <w:rsid w:val="00151414"/>
    <w:rsid w:val="00165A8B"/>
    <w:rsid w:val="00175D7C"/>
    <w:rsid w:val="00190B88"/>
    <w:rsid w:val="001A00EB"/>
    <w:rsid w:val="001E402B"/>
    <w:rsid w:val="00203A64"/>
    <w:rsid w:val="00257E9B"/>
    <w:rsid w:val="002915FA"/>
    <w:rsid w:val="002A401C"/>
    <w:rsid w:val="002C61F0"/>
    <w:rsid w:val="002F59AB"/>
    <w:rsid w:val="00322022"/>
    <w:rsid w:val="0032748E"/>
    <w:rsid w:val="003339B4"/>
    <w:rsid w:val="00365F40"/>
    <w:rsid w:val="003721F0"/>
    <w:rsid w:val="003F1B78"/>
    <w:rsid w:val="003F5B07"/>
    <w:rsid w:val="003F7B89"/>
    <w:rsid w:val="00446BD1"/>
    <w:rsid w:val="00485F1F"/>
    <w:rsid w:val="00497307"/>
    <w:rsid w:val="004C03D5"/>
    <w:rsid w:val="004C0894"/>
    <w:rsid w:val="004D6FB3"/>
    <w:rsid w:val="004E1B87"/>
    <w:rsid w:val="0051700F"/>
    <w:rsid w:val="00550C82"/>
    <w:rsid w:val="00570B6C"/>
    <w:rsid w:val="005A5F40"/>
    <w:rsid w:val="00625D8A"/>
    <w:rsid w:val="00682F9C"/>
    <w:rsid w:val="006A0FA1"/>
    <w:rsid w:val="006E6912"/>
    <w:rsid w:val="007100C8"/>
    <w:rsid w:val="007371AB"/>
    <w:rsid w:val="0077462D"/>
    <w:rsid w:val="007837B7"/>
    <w:rsid w:val="007853BF"/>
    <w:rsid w:val="00790325"/>
    <w:rsid w:val="00807D75"/>
    <w:rsid w:val="0085713E"/>
    <w:rsid w:val="00866BA7"/>
    <w:rsid w:val="0088377E"/>
    <w:rsid w:val="008A34E4"/>
    <w:rsid w:val="008B6C32"/>
    <w:rsid w:val="008F570E"/>
    <w:rsid w:val="00905E19"/>
    <w:rsid w:val="009137F8"/>
    <w:rsid w:val="00996660"/>
    <w:rsid w:val="0099731C"/>
    <w:rsid w:val="009A5F8B"/>
    <w:rsid w:val="009C7040"/>
    <w:rsid w:val="009D479E"/>
    <w:rsid w:val="00A154FC"/>
    <w:rsid w:val="00A329ED"/>
    <w:rsid w:val="00A356AE"/>
    <w:rsid w:val="00A4172E"/>
    <w:rsid w:val="00A72F6D"/>
    <w:rsid w:val="00A97941"/>
    <w:rsid w:val="00AA17C8"/>
    <w:rsid w:val="00AD7FF0"/>
    <w:rsid w:val="00AF1CE7"/>
    <w:rsid w:val="00B33F26"/>
    <w:rsid w:val="00B52D50"/>
    <w:rsid w:val="00B86EBA"/>
    <w:rsid w:val="00B91126"/>
    <w:rsid w:val="00B91B0F"/>
    <w:rsid w:val="00BF2624"/>
    <w:rsid w:val="00C05480"/>
    <w:rsid w:val="00C97EBC"/>
    <w:rsid w:val="00CA0837"/>
    <w:rsid w:val="00CD3C73"/>
    <w:rsid w:val="00D34AA0"/>
    <w:rsid w:val="00D533BB"/>
    <w:rsid w:val="00DC2B13"/>
    <w:rsid w:val="00DC5F46"/>
    <w:rsid w:val="00DC6EB5"/>
    <w:rsid w:val="00DD563E"/>
    <w:rsid w:val="00DD670F"/>
    <w:rsid w:val="00DE29A6"/>
    <w:rsid w:val="00E14D18"/>
    <w:rsid w:val="00E20E10"/>
    <w:rsid w:val="00E76AC9"/>
    <w:rsid w:val="00E84C18"/>
    <w:rsid w:val="00EA7784"/>
    <w:rsid w:val="00F103E1"/>
    <w:rsid w:val="00F466B3"/>
    <w:rsid w:val="00F47086"/>
    <w:rsid w:val="00F62B29"/>
    <w:rsid w:val="00FB6B50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1A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96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D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625D8A"/>
    <w:rPr>
      <w:color w:val="0000FF"/>
      <w:u w:val="single"/>
    </w:rPr>
  </w:style>
  <w:style w:type="character" w:styleId="a6">
    <w:name w:val="Strong"/>
    <w:uiPriority w:val="22"/>
    <w:qFormat/>
    <w:rsid w:val="00625D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6660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96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1A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96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D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D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625D8A"/>
    <w:rPr>
      <w:color w:val="0000FF"/>
      <w:u w:val="single"/>
    </w:rPr>
  </w:style>
  <w:style w:type="character" w:styleId="a6">
    <w:name w:val="Strong"/>
    <w:uiPriority w:val="22"/>
    <w:qFormat/>
    <w:rsid w:val="00625D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6660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9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ebkov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10CF-52B7-411B-813D-AAB8CD32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Dnsoft</Company>
  <LinksUpToDate>false</LinksUpToDate>
  <CharactersWithSpaces>5327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mailto:kdebkova@mail.ru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Станислав Игоревич</cp:lastModifiedBy>
  <cp:revision>8</cp:revision>
  <cp:lastPrinted>2016-12-01T14:17:00Z</cp:lastPrinted>
  <dcterms:created xsi:type="dcterms:W3CDTF">2017-07-10T14:08:00Z</dcterms:created>
  <dcterms:modified xsi:type="dcterms:W3CDTF">2017-07-10T14:37:00Z</dcterms:modified>
</cp:coreProperties>
</file>